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F1" w:rsidRDefault="004A1FF1" w:rsidP="00C662E0">
      <w:pPr>
        <w:pStyle w:val="Di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b/>
          <w:sz w:val="32"/>
          <w:szCs w:val="32"/>
        </w:rPr>
      </w:pPr>
      <w:bookmarkStart w:id="0" w:name="_GoBack"/>
      <w:bookmarkEnd w:id="0"/>
      <w:r>
        <w:rPr>
          <w:rFonts w:ascii="Times New Roman" w:hAnsi="Times New Roman"/>
          <w:b/>
          <w:sz w:val="32"/>
          <w:szCs w:val="32"/>
        </w:rPr>
        <w:t>UNAA – ASSEMBLEA NAZIONALE – GENOVA, 2 LUGLIO 2016</w:t>
      </w:r>
    </w:p>
    <w:p w:rsidR="004A1FF1" w:rsidRPr="00C662E0" w:rsidRDefault="004A1FF1" w:rsidP="00C662E0">
      <w:pPr>
        <w:pStyle w:val="Di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b/>
          <w:sz w:val="32"/>
          <w:szCs w:val="32"/>
        </w:rPr>
      </w:pPr>
      <w:r w:rsidRPr="00C662E0">
        <w:rPr>
          <w:rFonts w:ascii="Times New Roman" w:hAnsi="Times New Roman"/>
          <w:b/>
          <w:sz w:val="32"/>
          <w:szCs w:val="32"/>
        </w:rPr>
        <w:t>Mozione in tema di affidamento incarichi legali</w:t>
      </w:r>
      <w:r>
        <w:rPr>
          <w:rFonts w:ascii="Times New Roman" w:hAnsi="Times New Roman"/>
          <w:b/>
          <w:sz w:val="32"/>
          <w:szCs w:val="32"/>
        </w:rPr>
        <w:t xml:space="preserve">  </w:t>
      </w:r>
    </w:p>
    <w:p w:rsidR="004A1FF1" w:rsidRDefault="004A1FF1">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p>
    <w:p w:rsidR="004A1FF1" w:rsidRDefault="004A1FF1">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r>
        <w:rPr>
          <w:rFonts w:ascii="Times New Roman" w:hAnsi="Times New Roman"/>
          <w:sz w:val="32"/>
          <w:szCs w:val="32"/>
        </w:rPr>
        <w:t>Premesso che</w:t>
      </w:r>
    </w:p>
    <w:p w:rsidR="004A1FF1" w:rsidRDefault="004A1FF1" w:rsidP="00E63DCE">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r>
        <w:rPr>
          <w:rFonts w:ascii="Times New Roman" w:hAnsi="Times New Roman"/>
          <w:sz w:val="32"/>
          <w:szCs w:val="32"/>
        </w:rPr>
        <w:t xml:space="preserve">in esito alla pubblicazione del D.Lgs. 50/2016 alcuni articoli apparsi su organi di stampa nazionale hanno divulgato la tesi, sostenuta da alcuni commentatori, secondo cui anche per l’affidamento degli incarichi legali di natura giudiziale o affini ed assimilabili </w:t>
      </w:r>
      <w:r w:rsidRPr="00A44D87">
        <w:rPr>
          <w:rFonts w:ascii="Times New Roman" w:hAnsi="Times New Roman"/>
          <w:sz w:val="32"/>
          <w:szCs w:val="32"/>
        </w:rPr>
        <w:t>(</w:t>
      </w:r>
      <w:r>
        <w:rPr>
          <w:rFonts w:ascii="Times New Roman" w:hAnsi="Times New Roman"/>
          <w:sz w:val="32"/>
          <w:szCs w:val="32"/>
        </w:rPr>
        <w:t>quali quelli di assistenza legale fornita in preparazione di attività giudiziale o comunque resi su questioni che hanno probabilit</w:t>
      </w:r>
      <w:r>
        <w:rPr>
          <w:rFonts w:ascii="Times New Roman" w:hAnsi="Times New Roman"/>
          <w:sz w:val="32"/>
          <w:szCs w:val="32"/>
          <w:lang w:val="fr-FR"/>
        </w:rPr>
        <w:t xml:space="preserve">à </w:t>
      </w:r>
      <w:r>
        <w:rPr>
          <w:rFonts w:ascii="Times New Roman" w:hAnsi="Times New Roman"/>
          <w:sz w:val="32"/>
          <w:szCs w:val="32"/>
        </w:rPr>
        <w:t>di essere oggetto di giudizio) essendo gli stessi testualmente ricompresi nell</w:t>
      </w:r>
      <w:r>
        <w:rPr>
          <w:rFonts w:ascii="Times New Roman" w:hAnsi="Times New Roman"/>
          <w:sz w:val="32"/>
          <w:szCs w:val="32"/>
          <w:lang w:val="fr-FR"/>
        </w:rPr>
        <w:t>’</w:t>
      </w:r>
      <w:r>
        <w:rPr>
          <w:rFonts w:ascii="Times New Roman" w:hAnsi="Times New Roman"/>
          <w:sz w:val="32"/>
          <w:szCs w:val="32"/>
        </w:rPr>
        <w:t>articolo 17, co. 1, lett. d) del c.d. nuovo codice tra gli appalti esclusi, dovrebbero essere applicati i principi generali relativi all’affidamenti di contratti pubblici;</w:t>
      </w:r>
    </w:p>
    <w:p w:rsidR="004A1FF1" w:rsidRDefault="004A1FF1" w:rsidP="00E63DCE">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r>
        <w:rPr>
          <w:rFonts w:ascii="Times New Roman" w:hAnsi="Times New Roman"/>
          <w:sz w:val="32"/>
          <w:szCs w:val="32"/>
        </w:rPr>
        <w:t>tale tesi si fonda o viene comunque sostenuta invocando il tenore letterale della previsione di cui all’art. 4 del codice;</w:t>
      </w:r>
    </w:p>
    <w:p w:rsidR="004A1FF1" w:rsidRPr="00126ED1" w:rsidRDefault="004A1FF1" w:rsidP="00E63DCE">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32"/>
          <w:szCs w:val="32"/>
        </w:rPr>
      </w:pPr>
      <w:r w:rsidRPr="00E63DCE">
        <w:rPr>
          <w:rFonts w:ascii="Times New Roman" w:hAnsi="Times New Roman"/>
          <w:sz w:val="32"/>
          <w:szCs w:val="32"/>
        </w:rPr>
        <w:t xml:space="preserve">in particolare, </w:t>
      </w:r>
      <w:r>
        <w:rPr>
          <w:rFonts w:ascii="Times New Roman" w:hAnsi="Times New Roman"/>
          <w:sz w:val="32"/>
          <w:szCs w:val="32"/>
        </w:rPr>
        <w:t>si sostiene che s</w:t>
      </w:r>
      <w:r w:rsidRPr="00E63DCE">
        <w:rPr>
          <w:rFonts w:ascii="Times New Roman" w:hAnsi="Times New Roman"/>
          <w:sz w:val="32"/>
          <w:szCs w:val="32"/>
        </w:rPr>
        <w:t>i sarebbe supera</w:t>
      </w:r>
      <w:r>
        <w:rPr>
          <w:rFonts w:ascii="Times New Roman" w:hAnsi="Times New Roman"/>
          <w:sz w:val="32"/>
          <w:szCs w:val="32"/>
        </w:rPr>
        <w:t xml:space="preserve">ta </w:t>
      </w:r>
      <w:r w:rsidRPr="00E63DCE">
        <w:rPr>
          <w:rFonts w:ascii="Times New Roman" w:hAnsi="Times New Roman"/>
          <w:sz w:val="32"/>
          <w:szCs w:val="32"/>
        </w:rPr>
        <w:t xml:space="preserve">la situazione pregressa, in cui gli incarichi legali erano </w:t>
      </w:r>
      <w:r>
        <w:rPr>
          <w:rFonts w:ascii="Times New Roman" w:hAnsi="Times New Roman"/>
          <w:sz w:val="32"/>
          <w:szCs w:val="32"/>
        </w:rPr>
        <w:t xml:space="preserve">tutti </w:t>
      </w:r>
      <w:r w:rsidRPr="00E63DCE">
        <w:rPr>
          <w:rFonts w:ascii="Times New Roman" w:hAnsi="Times New Roman"/>
          <w:sz w:val="32"/>
          <w:szCs w:val="32"/>
        </w:rPr>
        <w:t xml:space="preserve">compresi nell'allegato II B </w:t>
      </w:r>
      <w:r>
        <w:rPr>
          <w:rFonts w:ascii="Times New Roman" w:hAnsi="Times New Roman"/>
          <w:sz w:val="32"/>
          <w:szCs w:val="32"/>
        </w:rPr>
        <w:t xml:space="preserve">del precednet codice </w:t>
      </w:r>
      <w:r w:rsidRPr="00E63DCE">
        <w:rPr>
          <w:rFonts w:ascii="Times New Roman" w:hAnsi="Times New Roman"/>
          <w:sz w:val="32"/>
          <w:szCs w:val="32"/>
        </w:rPr>
        <w:t>e dunque assoggettati ai principi dell'articolo 27 del codice dei contratti,</w:t>
      </w:r>
      <w:r>
        <w:rPr>
          <w:rFonts w:ascii="Times New Roman" w:hAnsi="Times New Roman"/>
          <w:sz w:val="32"/>
          <w:szCs w:val="32"/>
        </w:rPr>
        <w:t xml:space="preserve"> senza specificazione alcuna;</w:t>
      </w:r>
      <w:r w:rsidRPr="00E63DCE">
        <w:rPr>
          <w:rFonts w:ascii="Times New Roman" w:hAnsi="Times New Roman"/>
          <w:sz w:val="32"/>
          <w:szCs w:val="32"/>
        </w:rPr>
        <w:t xml:space="preserve"> </w:t>
      </w:r>
    </w:p>
    <w:p w:rsidR="004A1FF1" w:rsidRDefault="004A1FF1" w:rsidP="00E63DCE">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32"/>
          <w:szCs w:val="32"/>
        </w:rPr>
      </w:pPr>
      <w:r>
        <w:rPr>
          <w:rFonts w:ascii="Times New Roman" w:hAnsi="Times New Roman"/>
          <w:sz w:val="32"/>
          <w:szCs w:val="32"/>
        </w:rPr>
        <w:t>il tutto è stato tradotto nell’asserita necessità che anche nel caso si deb</w:t>
      </w:r>
      <w:r w:rsidRPr="00126ED1">
        <w:rPr>
          <w:rFonts w:ascii="Times New Roman" w:hAnsi="Times New Roman"/>
          <w:sz w:val="32"/>
          <w:szCs w:val="32"/>
        </w:rPr>
        <w:t>b</w:t>
      </w:r>
      <w:r>
        <w:rPr>
          <w:rFonts w:ascii="Times New Roman" w:hAnsi="Times New Roman"/>
          <w:sz w:val="32"/>
          <w:szCs w:val="32"/>
        </w:rPr>
        <w:t>a</w:t>
      </w:r>
      <w:r w:rsidRPr="00126ED1">
        <w:rPr>
          <w:rFonts w:ascii="Times New Roman" w:hAnsi="Times New Roman"/>
          <w:sz w:val="32"/>
          <w:szCs w:val="32"/>
        </w:rPr>
        <w:t xml:space="preserve"> dare corso</w:t>
      </w:r>
      <w:r>
        <w:rPr>
          <w:rFonts w:ascii="Times New Roman" w:hAnsi="Times New Roman"/>
          <w:sz w:val="32"/>
          <w:szCs w:val="32"/>
        </w:rPr>
        <w:t xml:space="preserve"> a</w:t>
      </w:r>
      <w:r w:rsidRPr="00126ED1">
        <w:rPr>
          <w:rFonts w:ascii="Times New Roman" w:hAnsi="Times New Roman"/>
          <w:sz w:val="32"/>
          <w:szCs w:val="32"/>
        </w:rPr>
        <w:t>d una sorta di “mini gara” (tale, ad esempio il titolo testuale d</w:t>
      </w:r>
      <w:r>
        <w:rPr>
          <w:rFonts w:ascii="Times New Roman" w:hAnsi="Times New Roman"/>
          <w:sz w:val="32"/>
          <w:szCs w:val="32"/>
        </w:rPr>
        <w:t>i uno dei quotidiani che ha ripreso l’asserzione:</w:t>
      </w:r>
      <w:r w:rsidRPr="00126ED1">
        <w:rPr>
          <w:rFonts w:ascii="Times New Roman" w:hAnsi="Times New Roman"/>
          <w:sz w:val="32"/>
          <w:szCs w:val="32"/>
        </w:rPr>
        <w:t xml:space="preserve"> Sole 24 ore</w:t>
      </w:r>
      <w:r>
        <w:rPr>
          <w:rFonts w:ascii="Times New Roman" w:hAnsi="Times New Roman"/>
          <w:sz w:val="32"/>
          <w:szCs w:val="32"/>
        </w:rPr>
        <w:t xml:space="preserve"> articolo apparso in data 16 maggio 2016);</w:t>
      </w:r>
    </w:p>
    <w:p w:rsidR="004A1FF1" w:rsidRDefault="004A1FF1">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p>
    <w:p w:rsidR="004A1FF1" w:rsidRDefault="004A1FF1">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r>
        <w:rPr>
          <w:rFonts w:ascii="Times New Roman" w:hAnsi="Times New Roman"/>
          <w:sz w:val="32"/>
          <w:szCs w:val="32"/>
        </w:rPr>
        <w:t>Rilevato che per contro</w:t>
      </w:r>
    </w:p>
    <w:p w:rsidR="004A1FF1" w:rsidRDefault="004A1FF1">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r>
        <w:rPr>
          <w:rFonts w:ascii="Times New Roman" w:hAnsi="Times New Roman"/>
          <w:sz w:val="32"/>
          <w:szCs w:val="32"/>
        </w:rPr>
        <w:t>simile lettura non tiene conto che le esatte argomentazioni sulla scorta delle quali  la previsione di cui al citato art. 27 fu incisa e comunque correttamente interpretata dalla sentenza 2730 del 2012 del Consiglio di Stato (che ha sottratto gli incarichi giudiziari e quelli di assistenza legale non continuativa dal novero degli appalti pubblici) valgono e sono sostanzialmente riproponibili anche in relazione all’art. 4 del nuovo codice;</w:t>
      </w:r>
    </w:p>
    <w:p w:rsidR="004A1FF1" w:rsidRDefault="004A1FF1" w:rsidP="002417CA">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r>
        <w:rPr>
          <w:rFonts w:ascii="Times New Roman" w:hAnsi="Times New Roman"/>
          <w:sz w:val="32"/>
          <w:szCs w:val="32"/>
        </w:rPr>
        <w:t>tale lettura può dirsi anzi rafforzata a fronte dell’esatta ricostruzione delle fonti comunitarie di cui il D.Lgs. 50/2016 costituisce in punto mero recepimento;</w:t>
      </w:r>
    </w:p>
    <w:p w:rsidR="004A1FF1" w:rsidRDefault="004A1FF1" w:rsidP="002417CA">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p>
    <w:p w:rsidR="004A1FF1" w:rsidRDefault="004A1FF1" w:rsidP="002417CA">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r>
        <w:rPr>
          <w:rFonts w:ascii="Times New Roman" w:hAnsi="Times New Roman"/>
          <w:sz w:val="32"/>
          <w:szCs w:val="32"/>
        </w:rPr>
        <w:t>Constatato infatti che</w:t>
      </w:r>
    </w:p>
    <w:p w:rsidR="004A1FF1" w:rsidRDefault="004A1FF1" w:rsidP="002417CA">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r>
        <w:rPr>
          <w:rFonts w:ascii="Times New Roman" w:hAnsi="Times New Roman"/>
          <w:sz w:val="32"/>
          <w:szCs w:val="32"/>
        </w:rPr>
        <w:t>ogni interpretazione va condotta (come già fece il Consiglio di Stato nella pronuncia sopra citata) muovendo dall’analisi della fonte comunitaria recepita;</w:t>
      </w:r>
    </w:p>
    <w:p w:rsidR="004A1FF1" w:rsidRDefault="004A1FF1" w:rsidP="002417CA">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r>
        <w:rPr>
          <w:rFonts w:ascii="Times New Roman" w:hAnsi="Times New Roman"/>
          <w:sz w:val="32"/>
          <w:szCs w:val="32"/>
        </w:rPr>
        <w:t>nel caso, non basta prendere in esame i considerando relativi ai c.d. settori esclusi (di cui peraltro scompare la precedente differenziazione, come da tab. XIV delle direttiva 2014/14/UE) n. 6, 28, 113 e 114, rilevando in particolare il considerando n. 25 ove espressamente si chiarisce che la ratio è quella di escludere “</w:t>
      </w:r>
      <w:r w:rsidRPr="00C45631">
        <w:rPr>
          <w:rFonts w:ascii="Times New Roman" w:hAnsi="Times New Roman"/>
          <w:i/>
          <w:sz w:val="32"/>
          <w:szCs w:val="32"/>
        </w:rPr>
        <w:t>dall’ambito di applicazione della presente direttiva</w:t>
      </w:r>
      <w:r>
        <w:rPr>
          <w:rFonts w:ascii="Times New Roman" w:hAnsi="Times New Roman"/>
          <w:sz w:val="32"/>
          <w:szCs w:val="32"/>
        </w:rPr>
        <w:t>” (oltre ai servizi prestati dai notai o quelli connessi all’esercizio di pubblici poteri) quelli che “</w:t>
      </w:r>
      <w:r>
        <w:rPr>
          <w:rFonts w:ascii="Times New Roman" w:hAnsi="Times New Roman"/>
          <w:i/>
          <w:sz w:val="32"/>
          <w:szCs w:val="32"/>
        </w:rPr>
        <w:t>comportano la rappres</w:t>
      </w:r>
      <w:r w:rsidRPr="00C45631">
        <w:rPr>
          <w:rFonts w:ascii="Times New Roman" w:hAnsi="Times New Roman"/>
          <w:i/>
          <w:sz w:val="32"/>
          <w:szCs w:val="32"/>
        </w:rPr>
        <w:t>e</w:t>
      </w:r>
      <w:r>
        <w:rPr>
          <w:rFonts w:ascii="Times New Roman" w:hAnsi="Times New Roman"/>
          <w:i/>
          <w:sz w:val="32"/>
          <w:szCs w:val="32"/>
        </w:rPr>
        <w:t>ntanza dei clienti in procedi</w:t>
      </w:r>
      <w:r w:rsidRPr="00C45631">
        <w:rPr>
          <w:rFonts w:ascii="Times New Roman" w:hAnsi="Times New Roman"/>
          <w:i/>
          <w:sz w:val="32"/>
          <w:szCs w:val="32"/>
        </w:rPr>
        <w:t>m</w:t>
      </w:r>
      <w:r>
        <w:rPr>
          <w:rFonts w:ascii="Times New Roman" w:hAnsi="Times New Roman"/>
          <w:i/>
          <w:sz w:val="32"/>
          <w:szCs w:val="32"/>
        </w:rPr>
        <w:t>e</w:t>
      </w:r>
      <w:r w:rsidRPr="00C45631">
        <w:rPr>
          <w:rFonts w:ascii="Times New Roman" w:hAnsi="Times New Roman"/>
          <w:i/>
          <w:sz w:val="32"/>
          <w:szCs w:val="32"/>
        </w:rPr>
        <w:t>nti giudiziar</w:t>
      </w:r>
      <w:r>
        <w:rPr>
          <w:rFonts w:ascii="Times New Roman" w:hAnsi="Times New Roman"/>
          <w:sz w:val="32"/>
          <w:szCs w:val="32"/>
        </w:rPr>
        <w:t>i”;</w:t>
      </w:r>
    </w:p>
    <w:p w:rsidR="004A1FF1" w:rsidRDefault="004A1FF1" w:rsidP="002417CA">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p>
    <w:p w:rsidR="004A1FF1" w:rsidRDefault="004A1FF1" w:rsidP="00592EA5">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32"/>
          <w:szCs w:val="32"/>
        </w:rPr>
      </w:pPr>
      <w:r>
        <w:rPr>
          <w:rFonts w:ascii="Times New Roman" w:hAnsi="Times New Roman"/>
          <w:sz w:val="32"/>
          <w:szCs w:val="32"/>
        </w:rPr>
        <w:t>non è corretto quindi far dire alla fonte di recepimento nazionale ciò che la fonte comunitaria non dice affatto, ma appunto esplicita all'opposto;</w:t>
      </w:r>
    </w:p>
    <w:p w:rsidR="004A1FF1" w:rsidRDefault="004A1FF1" w:rsidP="002417CA">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p>
    <w:p w:rsidR="004A1FF1" w:rsidRDefault="004A1FF1" w:rsidP="00592EA5">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r>
        <w:rPr>
          <w:rFonts w:ascii="Times New Roman" w:hAnsi="Times New Roman"/>
          <w:sz w:val="32"/>
          <w:szCs w:val="32"/>
        </w:rPr>
        <w:t>l'allegato IX dell'attuale codice dei contratti allorchè prevede “</w:t>
      </w:r>
      <w:r w:rsidRPr="00C45631">
        <w:rPr>
          <w:rFonts w:ascii="Times New Roman" w:hAnsi="Times New Roman"/>
          <w:i/>
          <w:sz w:val="32"/>
          <w:szCs w:val="32"/>
        </w:rPr>
        <w:t>i servizi legali nella misura in cui non siano esclusi a norma dell</w:t>
      </w:r>
      <w:r w:rsidRPr="00C45631">
        <w:rPr>
          <w:rFonts w:ascii="Times New Roman" w:hAnsi="Times New Roman"/>
          <w:i/>
          <w:sz w:val="32"/>
          <w:szCs w:val="32"/>
          <w:lang w:val="fr-FR"/>
        </w:rPr>
        <w:t>’</w:t>
      </w:r>
      <w:r w:rsidRPr="00C45631">
        <w:rPr>
          <w:rFonts w:ascii="Times New Roman" w:hAnsi="Times New Roman"/>
          <w:i/>
          <w:sz w:val="32"/>
          <w:szCs w:val="32"/>
        </w:rPr>
        <w:t>art. 17, co. 1, lett. d)</w:t>
      </w:r>
      <w:r>
        <w:rPr>
          <w:rFonts w:ascii="Times New Roman" w:hAnsi="Times New Roman"/>
          <w:sz w:val="32"/>
          <w:szCs w:val="32"/>
        </w:rPr>
        <w:t>” non fa quindi altro che richiamare l’esatto contenuto dell’art. 10 della direttiva 24 e nel fare ciò, quindi, il nuovo codice, recependo la direttiva 2014/24, intende fare chiarezza nell</w:t>
      </w:r>
      <w:r>
        <w:rPr>
          <w:rFonts w:ascii="Times New Roman" w:hAnsi="Times New Roman"/>
          <w:sz w:val="32"/>
          <w:szCs w:val="32"/>
          <w:lang w:val="fr-FR"/>
        </w:rPr>
        <w:t>’</w:t>
      </w:r>
      <w:r>
        <w:rPr>
          <w:rFonts w:ascii="Times New Roman" w:hAnsi="Times New Roman"/>
          <w:sz w:val="32"/>
          <w:szCs w:val="32"/>
        </w:rPr>
        <w:t>affidamento dei servizi legali, prevedendo espressamente che la disciplina dettata non si applica neppure in modo parziale (o come affermato in dottrina “</w:t>
      </w:r>
      <w:r w:rsidRPr="00C45631">
        <w:rPr>
          <w:rFonts w:ascii="Times New Roman" w:hAnsi="Times New Roman"/>
          <w:i/>
          <w:sz w:val="32"/>
          <w:szCs w:val="32"/>
        </w:rPr>
        <w:t>affievolito</w:t>
      </w:r>
      <w:r>
        <w:rPr>
          <w:rFonts w:ascii="Times New Roman" w:hAnsi="Times New Roman"/>
          <w:sz w:val="32"/>
          <w:szCs w:val="32"/>
        </w:rPr>
        <w:t>”) come da servizi ricompresi nell’allegato;</w:t>
      </w:r>
    </w:p>
    <w:p w:rsidR="004A1FF1" w:rsidRDefault="004A1FF1" w:rsidP="00592EA5">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32"/>
          <w:szCs w:val="32"/>
        </w:rPr>
      </w:pPr>
      <w:r>
        <w:rPr>
          <w:rFonts w:ascii="Times New Roman" w:hAnsi="Times New Roman"/>
          <w:sz w:val="32"/>
          <w:szCs w:val="32"/>
        </w:rPr>
        <w:t> </w:t>
      </w:r>
    </w:p>
    <w:p w:rsidR="004A1FF1" w:rsidRDefault="004A1FF1" w:rsidP="00592EA5">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32"/>
          <w:szCs w:val="32"/>
        </w:rPr>
      </w:pPr>
      <w:r>
        <w:rPr>
          <w:rFonts w:ascii="Times New Roman" w:hAnsi="Times New Roman"/>
          <w:sz w:val="32"/>
          <w:szCs w:val="32"/>
        </w:rPr>
        <w:t>in altre parole, ricordato che le tesi già confutate dal Consiglio di Stato nel 2012 facevano leva sulla generica ed indistinta indicazione di “servizi legali” di cui al precedente codice (vedasi relativo allegato IIB) che a sua volta attingeva alla precedente direttiva, mentre l</w:t>
      </w:r>
      <w:r>
        <w:rPr>
          <w:rFonts w:ascii="Times New Roman" w:hAnsi="Times New Roman"/>
          <w:sz w:val="32"/>
          <w:szCs w:val="32"/>
          <w:lang w:val="fr-FR"/>
        </w:rPr>
        <w:t>’</w:t>
      </w:r>
      <w:r>
        <w:rPr>
          <w:rFonts w:ascii="Times New Roman" w:hAnsi="Times New Roman"/>
          <w:sz w:val="32"/>
          <w:szCs w:val="32"/>
        </w:rPr>
        <w:t>attuale allegato IX richiama gli esclusi ex art. 17,1c. lett. d/ del codice in fedele conformit</w:t>
      </w:r>
      <w:r>
        <w:rPr>
          <w:rFonts w:ascii="Times New Roman" w:hAnsi="Times New Roman"/>
          <w:sz w:val="32"/>
          <w:szCs w:val="32"/>
          <w:lang w:val="fr-FR"/>
        </w:rPr>
        <w:t xml:space="preserve">à </w:t>
      </w:r>
      <w:r>
        <w:rPr>
          <w:rFonts w:ascii="Times New Roman" w:hAnsi="Times New Roman"/>
          <w:sz w:val="32"/>
          <w:szCs w:val="32"/>
        </w:rPr>
        <w:t>alla tab. XIV della Direttiva 24/2014, ne deriva che prima si è sostenuto, forzando il tutto, che anche l</w:t>
      </w:r>
      <w:r>
        <w:rPr>
          <w:rFonts w:ascii="Times New Roman" w:hAnsi="Times New Roman"/>
          <w:sz w:val="32"/>
          <w:szCs w:val="32"/>
          <w:lang w:val="fr-FR"/>
        </w:rPr>
        <w:t>’</w:t>
      </w:r>
      <w:r>
        <w:rPr>
          <w:rFonts w:ascii="Times New Roman" w:hAnsi="Times New Roman"/>
          <w:sz w:val="32"/>
          <w:szCs w:val="32"/>
        </w:rPr>
        <w:t>affidamento di servizi relativi al giudiziale non poteva che rientrare nel novero degli appalti appunto perché non si era in presenza di alcuna specificazione ulteriore, ed ora, tamquam non esset le specifiche introdotte in sede comunitaria e la ratio dei considerando, si tenta di vanificarle invocando il mero tenore letterale dell</w:t>
      </w:r>
      <w:r>
        <w:rPr>
          <w:rFonts w:ascii="Times New Roman" w:hAnsi="Times New Roman"/>
          <w:sz w:val="32"/>
          <w:szCs w:val="32"/>
          <w:lang w:val="fr-FR"/>
        </w:rPr>
        <w:t>’</w:t>
      </w:r>
      <w:r>
        <w:rPr>
          <w:rFonts w:ascii="Times New Roman" w:hAnsi="Times New Roman"/>
          <w:sz w:val="32"/>
          <w:szCs w:val="32"/>
        </w:rPr>
        <w:t>art. 4;</w:t>
      </w:r>
    </w:p>
    <w:p w:rsidR="004A1FF1" w:rsidRDefault="004A1FF1">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p>
    <w:p w:rsidR="004A1FF1" w:rsidRDefault="004A1FF1" w:rsidP="00592EA5">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32"/>
          <w:szCs w:val="32"/>
        </w:rPr>
      </w:pPr>
      <w:r>
        <w:rPr>
          <w:rFonts w:ascii="Times New Roman" w:hAnsi="Times New Roman"/>
          <w:sz w:val="32"/>
          <w:szCs w:val="32"/>
        </w:rPr>
        <w:t>del resto, la legge delega tace in punto e parimenti il parere del Consiglio di Stato, per cui nel silenzio non si possono in ogni caso sostenere significative innovazioni in sede di recepimento, né la diversa funzione del c.d. riordino della materia può nel caso sopperire;</w:t>
      </w:r>
    </w:p>
    <w:p w:rsidR="004A1FF1" w:rsidRDefault="004A1FF1">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p>
    <w:p w:rsidR="004A1FF1" w:rsidRDefault="004A1FF1">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p>
    <w:p w:rsidR="004A1FF1" w:rsidRDefault="004A1FF1" w:rsidP="008F41BA">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sz w:val="32"/>
          <w:szCs w:val="32"/>
        </w:rPr>
      </w:pPr>
      <w:r>
        <w:rPr>
          <w:rFonts w:ascii="Times New Roman" w:hAnsi="Times New Roman"/>
          <w:sz w:val="32"/>
          <w:szCs w:val="32"/>
        </w:rPr>
        <w:t xml:space="preserve">Rilevato altresì che, in ogni caso, l’art. 4 del D.Lgs. 50/2016 non contiene neppure la previsione, di cui all’art. 27 del vecchio secondo cui era espressamente previsto il previo invito ad almeno cinque concorrenti, per cui anche a voler accedere all’interpretazione quivi avversata, si potrebbe in ogni caso ed a dir poco discutere </w:t>
      </w:r>
      <w:r>
        <w:rPr>
          <w:rFonts w:ascii="Times New Roman" w:hAnsi="Times New Roman" w:cs="Times New Roman"/>
          <w:sz w:val="32"/>
          <w:szCs w:val="32"/>
        </w:rPr>
        <w:t xml:space="preserve">di come debbano essere </w:t>
      </w:r>
      <w:r>
        <w:rPr>
          <w:rFonts w:ascii="Times New Roman" w:hAnsi="Times New Roman"/>
          <w:sz w:val="32"/>
          <w:szCs w:val="32"/>
        </w:rPr>
        <w:t>rispettati i principi di economicit</w:t>
      </w:r>
      <w:r>
        <w:rPr>
          <w:rFonts w:ascii="Times New Roman" w:hAnsi="Times New Roman"/>
          <w:sz w:val="32"/>
          <w:szCs w:val="32"/>
          <w:lang w:val="fr-FR"/>
        </w:rPr>
        <w:t xml:space="preserve">à, </w:t>
      </w:r>
      <w:r>
        <w:rPr>
          <w:rFonts w:ascii="Times New Roman" w:hAnsi="Times New Roman"/>
          <w:sz w:val="32"/>
          <w:szCs w:val="32"/>
          <w:lang w:val="es-ES_tradnl"/>
        </w:rPr>
        <w:t>efficacia, imparzialit</w:t>
      </w:r>
      <w:r>
        <w:rPr>
          <w:rFonts w:ascii="Times New Roman" w:hAnsi="Times New Roman"/>
          <w:sz w:val="32"/>
          <w:szCs w:val="32"/>
          <w:lang w:val="fr-FR"/>
        </w:rPr>
        <w:t xml:space="preserve">à, </w:t>
      </w:r>
      <w:r>
        <w:rPr>
          <w:rFonts w:ascii="Times New Roman" w:hAnsi="Times New Roman"/>
          <w:sz w:val="32"/>
          <w:szCs w:val="32"/>
        </w:rPr>
        <w:t>parit</w:t>
      </w:r>
      <w:r>
        <w:rPr>
          <w:rFonts w:ascii="Times New Roman" w:hAnsi="Times New Roman"/>
          <w:sz w:val="32"/>
          <w:szCs w:val="32"/>
          <w:lang w:val="fr-FR"/>
        </w:rPr>
        <w:t xml:space="preserve">à </w:t>
      </w:r>
      <w:r>
        <w:rPr>
          <w:rFonts w:ascii="Times New Roman" w:hAnsi="Times New Roman"/>
          <w:sz w:val="32"/>
          <w:szCs w:val="32"/>
        </w:rPr>
        <w:t>di trattamento, trasparenza, proporzionalit</w:t>
      </w:r>
      <w:r>
        <w:rPr>
          <w:rFonts w:ascii="Times New Roman" w:hAnsi="Times New Roman"/>
          <w:sz w:val="32"/>
          <w:szCs w:val="32"/>
          <w:lang w:val="fr-FR"/>
        </w:rPr>
        <w:t xml:space="preserve">à </w:t>
      </w:r>
      <w:r>
        <w:rPr>
          <w:rFonts w:ascii="Times New Roman" w:hAnsi="Times New Roman"/>
          <w:sz w:val="32"/>
          <w:szCs w:val="32"/>
        </w:rPr>
        <w:t>e pubblicit</w:t>
      </w:r>
      <w:r>
        <w:rPr>
          <w:rFonts w:ascii="Times New Roman" w:hAnsi="Times New Roman"/>
          <w:sz w:val="32"/>
          <w:szCs w:val="32"/>
          <w:lang w:val="fr-FR"/>
        </w:rPr>
        <w:t xml:space="preserve">à </w:t>
      </w:r>
      <w:r>
        <w:rPr>
          <w:rFonts w:ascii="Times New Roman" w:hAnsi="Times New Roman"/>
          <w:sz w:val="32"/>
          <w:szCs w:val="32"/>
        </w:rPr>
        <w:t>di cui all</w:t>
      </w:r>
      <w:r>
        <w:rPr>
          <w:rFonts w:ascii="Times New Roman" w:hAnsi="Times New Roman"/>
          <w:sz w:val="32"/>
          <w:szCs w:val="32"/>
          <w:lang w:val="fr-FR"/>
        </w:rPr>
        <w:t>’</w:t>
      </w:r>
      <w:r>
        <w:rPr>
          <w:rFonts w:ascii="Times New Roman" w:hAnsi="Times New Roman"/>
          <w:sz w:val="32"/>
          <w:szCs w:val="32"/>
        </w:rPr>
        <w:t>art. 4, per cui, anche in una logica ‘interna’ alla disciplina invocata ben potrebbe, ad esempio, bastare l</w:t>
      </w:r>
      <w:r>
        <w:rPr>
          <w:rFonts w:ascii="Times New Roman" w:hAnsi="Times New Roman"/>
          <w:sz w:val="32"/>
          <w:szCs w:val="32"/>
          <w:lang w:val="fr-FR"/>
        </w:rPr>
        <w:t>’</w:t>
      </w:r>
      <w:r>
        <w:rPr>
          <w:rFonts w:ascii="Times New Roman" w:hAnsi="Times New Roman"/>
          <w:sz w:val="32"/>
          <w:szCs w:val="32"/>
        </w:rPr>
        <w:t>acquisizione del curriculum del legale e del relativo preventivo;</w:t>
      </w:r>
    </w:p>
    <w:p w:rsidR="004A1FF1" w:rsidRDefault="004A1FF1">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32"/>
          <w:szCs w:val="32"/>
        </w:rPr>
      </w:pPr>
    </w:p>
    <w:p w:rsidR="004A1FF1" w:rsidRDefault="004A1FF1">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32"/>
          <w:szCs w:val="32"/>
        </w:rPr>
      </w:pPr>
      <w:r>
        <w:rPr>
          <w:rFonts w:ascii="Times New Roman" w:hAnsi="Times New Roman" w:cs="Times New Roman"/>
          <w:sz w:val="32"/>
          <w:szCs w:val="32"/>
        </w:rPr>
        <w:t>l’Assemblea dei delegati dell’Unione</w:t>
      </w:r>
    </w:p>
    <w:p w:rsidR="004A1FF1" w:rsidRDefault="004A1FF1">
      <w:pPr>
        <w:pStyle w:val="Di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32"/>
          <w:szCs w:val="32"/>
        </w:rPr>
      </w:pPr>
      <w:r>
        <w:rPr>
          <w:rFonts w:ascii="Times New Roman" w:hAnsi="Times New Roman"/>
          <w:sz w:val="32"/>
          <w:szCs w:val="32"/>
        </w:rPr>
        <w:t> </w:t>
      </w:r>
    </w:p>
    <w:p w:rsidR="004A1FF1" w:rsidRPr="008F41BA" w:rsidRDefault="004A1FF1" w:rsidP="00592EA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8" w:lineRule="auto"/>
        <w:jc w:val="center"/>
        <w:rPr>
          <w:rFonts w:ascii="Times New Roman" w:hAnsi="Times New Roman" w:cs="Times New Roman"/>
          <w:b/>
          <w:bCs/>
          <w:sz w:val="32"/>
          <w:szCs w:val="32"/>
        </w:rPr>
      </w:pPr>
      <w:r w:rsidRPr="008F41BA">
        <w:rPr>
          <w:rFonts w:ascii="Times New Roman" w:hAnsi="Times New Roman"/>
          <w:b/>
          <w:bCs/>
          <w:sz w:val="32"/>
          <w:szCs w:val="32"/>
        </w:rPr>
        <w:t>IMPEGNA</w:t>
      </w:r>
    </w:p>
    <w:p w:rsidR="004A1FF1" w:rsidRPr="008F41BA" w:rsidRDefault="004A1FF1" w:rsidP="00592EA5">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8" w:lineRule="auto"/>
        <w:jc w:val="both"/>
        <w:rPr>
          <w:rFonts w:ascii="Times New Roman" w:hAnsi="Times New Roman" w:cs="Times New Roman"/>
          <w:b/>
          <w:bCs/>
          <w:sz w:val="32"/>
          <w:szCs w:val="32"/>
        </w:rPr>
      </w:pPr>
    </w:p>
    <w:p w:rsidR="004A1FF1" w:rsidRPr="005A3C57" w:rsidRDefault="004A1FF1" w:rsidP="005A3C57">
      <w:pPr>
        <w:pStyle w:val="Corpo"/>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8" w:lineRule="auto"/>
        <w:jc w:val="both"/>
        <w:rPr>
          <w:rFonts w:ascii="Times New Roman" w:hAnsi="Times New Roman" w:cs="Times New Roman"/>
          <w:sz w:val="32"/>
          <w:szCs w:val="32"/>
        </w:rPr>
      </w:pPr>
      <w:r w:rsidRPr="008F41BA">
        <w:rPr>
          <w:rFonts w:ascii="Times New Roman" w:hAnsi="Times New Roman"/>
          <w:sz w:val="32"/>
          <w:szCs w:val="32"/>
        </w:rPr>
        <w:t xml:space="preserve">il Consiglio direttivo dell’Unione </w:t>
      </w:r>
      <w:r>
        <w:rPr>
          <w:rFonts w:ascii="Times New Roman" w:hAnsi="Times New Roman"/>
          <w:sz w:val="32"/>
          <w:szCs w:val="32"/>
        </w:rPr>
        <w:t>a sostenere</w:t>
      </w:r>
      <w:r w:rsidRPr="008F41BA">
        <w:rPr>
          <w:rFonts w:ascii="Times New Roman" w:hAnsi="Times New Roman"/>
          <w:sz w:val="32"/>
          <w:szCs w:val="32"/>
        </w:rPr>
        <w:t xml:space="preserve"> </w:t>
      </w:r>
      <w:r>
        <w:rPr>
          <w:rFonts w:ascii="Times New Roman" w:hAnsi="Times New Roman"/>
          <w:sz w:val="32"/>
          <w:szCs w:val="32"/>
        </w:rPr>
        <w:t>in ogni sede che l’affidamento degli incarichi</w:t>
      </w:r>
      <w:r w:rsidRPr="008F41BA">
        <w:rPr>
          <w:rFonts w:ascii="Times New Roman" w:hAnsi="Times New Roman"/>
          <w:sz w:val="32"/>
          <w:szCs w:val="32"/>
        </w:rPr>
        <w:t xml:space="preserve"> </w:t>
      </w:r>
      <w:r>
        <w:rPr>
          <w:rFonts w:ascii="Times New Roman" w:hAnsi="Times New Roman"/>
          <w:sz w:val="32"/>
          <w:szCs w:val="32"/>
        </w:rPr>
        <w:t>legali giudiziali e connessi da parte degli enti pubblici non necessita di procedura di gara alcuna potendosi assegnare direttamente su base fiduciaria, con idonea motivazione, precisando che non è necessario quindi fare leva sulla previsione dell</w:t>
      </w:r>
      <w:r>
        <w:rPr>
          <w:rFonts w:ascii="Times New Roman" w:hAnsi="Times New Roman"/>
          <w:sz w:val="32"/>
          <w:szCs w:val="32"/>
          <w:lang w:val="fr-FR"/>
        </w:rPr>
        <w:t>’</w:t>
      </w:r>
      <w:r>
        <w:rPr>
          <w:rFonts w:ascii="Times New Roman" w:hAnsi="Times New Roman"/>
          <w:sz w:val="32"/>
          <w:szCs w:val="32"/>
        </w:rPr>
        <w:t xml:space="preserve">art. 36 del codice </w:t>
      </w:r>
    </w:p>
    <w:p w:rsidR="004A1FF1" w:rsidRDefault="004A1FF1">
      <w:pPr>
        <w:pStyle w:val="Didefault"/>
        <w:pBdr>
          <w:top w:val="none" w:sz="0" w:space="0" w:color="auto"/>
          <w:left w:val="none" w:sz="0" w:space="0" w:color="auto"/>
          <w:bottom w:val="none" w:sz="0" w:space="0" w:color="auto"/>
          <w:right w:val="none" w:sz="0" w:space="0" w:color="auto"/>
          <w:bar w:val="none" w:sz="0" w:color="auto"/>
        </w:pBdr>
        <w:jc w:val="both"/>
      </w:pPr>
    </w:p>
    <w:sectPr w:rsidR="004A1FF1" w:rsidSect="00B97E51">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F1" w:rsidRDefault="004A1FF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A1FF1" w:rsidRDefault="004A1FF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F1" w:rsidRDefault="004A1FF1">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F1" w:rsidRDefault="004A1FF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A1FF1" w:rsidRDefault="004A1FF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F1" w:rsidRDefault="004A1FF1">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94078"/>
    <w:multiLevelType w:val="hybridMultilevel"/>
    <w:tmpl w:val="1AD4A2E6"/>
    <w:lvl w:ilvl="0" w:tplc="6AD4BDAC">
      <w:start w:val="13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1B4"/>
    <w:rsid w:val="0003723D"/>
    <w:rsid w:val="00037F74"/>
    <w:rsid w:val="0007129B"/>
    <w:rsid w:val="00087E2C"/>
    <w:rsid w:val="00126ED1"/>
    <w:rsid w:val="001D3D24"/>
    <w:rsid w:val="002417CA"/>
    <w:rsid w:val="002A41B7"/>
    <w:rsid w:val="002D046D"/>
    <w:rsid w:val="003471E7"/>
    <w:rsid w:val="004A1FF1"/>
    <w:rsid w:val="00592EA5"/>
    <w:rsid w:val="005A3C57"/>
    <w:rsid w:val="005E14F8"/>
    <w:rsid w:val="006C72B0"/>
    <w:rsid w:val="00813A04"/>
    <w:rsid w:val="008204C5"/>
    <w:rsid w:val="008C2B34"/>
    <w:rsid w:val="008F41BA"/>
    <w:rsid w:val="00A44D87"/>
    <w:rsid w:val="00A641B4"/>
    <w:rsid w:val="00AA7207"/>
    <w:rsid w:val="00B63781"/>
    <w:rsid w:val="00B65DC5"/>
    <w:rsid w:val="00B96437"/>
    <w:rsid w:val="00B97E51"/>
    <w:rsid w:val="00C45631"/>
    <w:rsid w:val="00C662E0"/>
    <w:rsid w:val="00D945DA"/>
    <w:rsid w:val="00E63DCE"/>
    <w:rsid w:val="00EB7446"/>
    <w:rsid w:val="00EE6193"/>
    <w:rsid w:val="00FA2F65"/>
    <w:rsid w:val="00FD682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7E51"/>
    <w:rPr>
      <w:rFonts w:cs="Times New Roman"/>
      <w:u w:val="single"/>
    </w:rPr>
  </w:style>
  <w:style w:type="table" w:customStyle="1" w:styleId="TableNormal1">
    <w:name w:val="Table Normal1"/>
    <w:uiPriority w:val="99"/>
    <w:rsid w:val="00B97E51"/>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Didefault">
    <w:name w:val="Di default"/>
    <w:uiPriority w:val="99"/>
    <w:rsid w:val="00B97E5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paragraph" w:customStyle="1" w:styleId="Corpo">
    <w:name w:val="Corpo"/>
    <w:uiPriority w:val="99"/>
    <w:rsid w:val="00592EA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846</Words>
  <Characters>4827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Mozione in tema di affidamento incarichi legali</dc:title>
  <dc:subject/>
  <dc:creator/>
  <cp:keywords/>
  <dc:description/>
  <cp:lastModifiedBy>valentino</cp:lastModifiedBy>
  <cp:revision>2</cp:revision>
  <cp:lastPrinted>2016-07-01T17:59:00Z</cp:lastPrinted>
  <dcterms:created xsi:type="dcterms:W3CDTF">2016-07-05T14:20:00Z</dcterms:created>
  <dcterms:modified xsi:type="dcterms:W3CDTF">2016-07-05T14:20:00Z</dcterms:modified>
</cp:coreProperties>
</file>